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CC1F" w14:textId="7C121FBD" w:rsidR="00F43867" w:rsidRPr="003B6DC3" w:rsidRDefault="003B6DC3">
      <w:pPr>
        <w:rPr>
          <w:rFonts w:ascii="Times New Roman" w:hAnsi="Times New Roman" w:cs="Times New Roman"/>
          <w:b/>
          <w:bCs/>
        </w:rPr>
      </w:pPr>
      <w:r w:rsidRPr="003B6DC3">
        <w:rPr>
          <w:rFonts w:ascii="Times New Roman" w:hAnsi="Times New Roman" w:cs="Times New Roman"/>
          <w:b/>
          <w:bCs/>
        </w:rPr>
        <w:t xml:space="preserve">Death Penalty Procedures [From </w:t>
      </w:r>
      <w:proofErr w:type="spellStart"/>
      <w:r w:rsidRPr="003B6DC3">
        <w:rPr>
          <w:rFonts w:ascii="Times New Roman" w:hAnsi="Times New Roman" w:cs="Times New Roman"/>
          <w:b/>
          <w:bCs/>
        </w:rPr>
        <w:t>Benchbook</w:t>
      </w:r>
      <w:proofErr w:type="spellEnd"/>
      <w:r w:rsidRPr="003B6DC3">
        <w:rPr>
          <w:rFonts w:ascii="Times New Roman" w:hAnsi="Times New Roman" w:cs="Times New Roman"/>
          <w:b/>
          <w:bCs/>
        </w:rPr>
        <w:t xml:space="preserve"> 3.01.II.A]</w:t>
      </w:r>
    </w:p>
    <w:p w14:paraId="6E2874A6" w14:textId="77777777" w:rsidR="003B6DC3" w:rsidRDefault="003B6DC3" w:rsidP="003B6DC3">
      <w:pPr>
        <w:pStyle w:val="level123"/>
        <w:keepNext/>
        <w:ind w:left="0" w:firstLine="0"/>
        <w:rPr>
          <w:rFonts w:ascii="Times New Roman" w:hAnsi="Times New Roman" w:cs="Times New Roman"/>
          <w:color w:val="000000" w:themeColor="text1"/>
        </w:rPr>
      </w:pPr>
    </w:p>
    <w:p w14:paraId="5C78E4FA" w14:textId="174932A4" w:rsidR="003B6DC3" w:rsidRPr="009D2686" w:rsidRDefault="003B6DC3" w:rsidP="003B6DC3">
      <w:pPr>
        <w:pStyle w:val="level123"/>
        <w:keepNext/>
        <w:ind w:left="0" w:firstLine="0"/>
        <w:rPr>
          <w:rFonts w:ascii="Times New Roman" w:hAnsi="Times New Roman" w:cs="Times New Roman"/>
          <w:strike/>
          <w:color w:val="000000" w:themeColor="text1"/>
          <w:u w:val="single"/>
        </w:rPr>
      </w:pPr>
      <w:r w:rsidRPr="009D2686">
        <w:rPr>
          <w:rFonts w:ascii="Times New Roman" w:hAnsi="Times New Roman" w:cs="Times New Roman"/>
          <w:color w:val="000000" w:themeColor="text1"/>
        </w:rPr>
        <w:t>[Suggested explanation of the trial process:</w:t>
      </w:r>
      <w:r w:rsidRPr="009D2686">
        <w:rPr>
          <w:rFonts w:ascii="Times New Roman" w:hAnsi="Times New Roman" w:cs="Times New Roman"/>
          <w:color w:val="000000" w:themeColor="text1"/>
          <w:u w:val="single"/>
        </w:rPr>
        <w:t>]</w:t>
      </w:r>
    </w:p>
    <w:p w14:paraId="24F53E23" w14:textId="77777777" w:rsidR="003B6DC3" w:rsidRPr="009D2686" w:rsidRDefault="003B6DC3" w:rsidP="003B6DC3">
      <w:pPr>
        <w:pStyle w:val="header4"/>
        <w:rPr>
          <w:color w:val="000000" w:themeColor="text1"/>
        </w:rPr>
      </w:pPr>
      <w:bookmarkStart w:id="0" w:name="OLE_LINK7"/>
      <w:bookmarkStart w:id="1" w:name="OLE_LINK8"/>
      <w:r w:rsidRPr="009D2686">
        <w:rPr>
          <w:color w:val="000000" w:themeColor="text1"/>
        </w:rPr>
        <w:t xml:space="preserve">• </w:t>
      </w:r>
      <w:bookmarkStart w:id="2" w:name="_Hlk186186827"/>
      <w:r w:rsidRPr="009D2686">
        <w:rPr>
          <w:color w:val="000000" w:themeColor="text1"/>
        </w:rPr>
        <w:t>Statement to the Daily Panels</w:t>
      </w:r>
      <w:bookmarkEnd w:id="2"/>
      <w:r w:rsidRPr="009D2686">
        <w:rPr>
          <w:color w:val="000000" w:themeColor="text1"/>
        </w:rPr>
        <w:t xml:space="preserve"> of Prospective Jurors Prior to Individual </w:t>
      </w:r>
      <w:proofErr w:type="spellStart"/>
      <w:r w:rsidRPr="009D2686">
        <w:rPr>
          <w:color w:val="000000" w:themeColor="text1"/>
        </w:rPr>
        <w:t>Voir</w:t>
      </w:r>
      <w:proofErr w:type="spellEnd"/>
      <w:r w:rsidRPr="009D2686">
        <w:rPr>
          <w:color w:val="000000" w:themeColor="text1"/>
        </w:rPr>
        <w:t xml:space="preserve"> Dire:</w:t>
      </w:r>
      <w:r w:rsidRPr="009D2686">
        <w:rPr>
          <w:rStyle w:val="FootnoteReference"/>
          <w:color w:val="000000" w:themeColor="text1"/>
          <w:sz w:val="24"/>
          <w:szCs w:val="24"/>
        </w:rPr>
        <w:footnoteReference w:id="1"/>
      </w:r>
    </w:p>
    <w:p w14:paraId="6F5D8D18" w14:textId="77777777" w:rsidR="003B6DC3" w:rsidRPr="009D2686" w:rsidRDefault="003B6DC3" w:rsidP="003B6DC3">
      <w:pPr>
        <w:pStyle w:val="colloquylevel1"/>
        <w:spacing w:after="120"/>
        <w:ind w:left="36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After greeting the prospective jurors and, if necessary, introducing or reintroducing yourself, provide the following—or similar—explanation of the jury selection process:</w:t>
      </w:r>
    </w:p>
    <w:bookmarkEnd w:id="0"/>
    <w:bookmarkEnd w:id="1"/>
    <w:p w14:paraId="72FABD63" w14:textId="77777777" w:rsidR="003B6DC3" w:rsidRPr="009D2686" w:rsidRDefault="003B6DC3" w:rsidP="003B6DC3">
      <w:pPr>
        <w:pStyle w:val="colloquylevel1"/>
        <w:spacing w:before="120"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I want to thank you for coming in this morning. Your presence reflects your serious commitment to your civic responsibilities. Jury service is one of the highest and most important duties of a citizen of the United States.</w:t>
      </w:r>
    </w:p>
    <w:p w14:paraId="18407FEB"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Each of you is a potential juror in the case of </w:t>
      </w:r>
      <w:r w:rsidRPr="009D2686">
        <w:rPr>
          <w:rFonts w:ascii="Times New Roman" w:hAnsi="Times New Roman" w:cs="Times New Roman"/>
          <w:i/>
          <w:iCs/>
          <w:color w:val="000000" w:themeColor="text1"/>
          <w:sz w:val="22"/>
          <w:szCs w:val="22"/>
        </w:rPr>
        <w:t>United States versus</w:t>
      </w:r>
      <w:r w:rsidRPr="009D2686">
        <w:rPr>
          <w:rFonts w:ascii="Times New Roman" w:hAnsi="Times New Roman" w:cs="Times New Roman"/>
          <w:color w:val="000000" w:themeColor="text1"/>
          <w:sz w:val="22"/>
          <w:szCs w:val="22"/>
        </w:rPr>
        <w:t xml:space="preserve"> _______________________. As you know, you already completed the first portion of the jury selection process when you came in and filled out the juror questionnaire.</w:t>
      </w:r>
    </w:p>
    <w:p w14:paraId="7D782512"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In a few minutes, you will be asked to make your way to an adjacent room to wait until your name is called to return to this courtroom for individual questioning. Before you head to the waiting room, you will be given a copy of your juror questionnaire so that you have an opportunity to review it. When you return for individual questioning, please bring the juror questionnaire with you. If we have some questions about certain answers in the questionnaire, you can review it.</w:t>
      </w:r>
    </w:p>
    <w:p w14:paraId="0533276B"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While you are waiting—before or after you are individually questioned—please do not talk with each other about any aspects of this case, the juror questionnaire, or about questions that were asked of you or your answers. I wish to make this very clear; you may not have any discussions at all about the case, the juror questionnaire, or the questioning process with anyone, including other prospective jurors.</w:t>
      </w:r>
    </w:p>
    <w:p w14:paraId="167BDB5C"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Before we begin, I would like to explain that there are no ‘right’ or ‘wrong’ answers to any of the questions that will be posed to you today.</w:t>
      </w:r>
    </w:p>
    <w:p w14:paraId="289B27B3"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Citizens in our community have and are entitled to hold a wide variety of different views and have had different life experiences that inform their feelings and views on different topics. Of course, this is also true of prospective jurors. We are genuinely interested in learning your views on issues related to this case, and because you may be called upon to determine punishment, we are interested in learning about your views and feelings about life imprisonment without the possibility of release and the death penalty. The integrity of the process depends on your truthfulness. You will all be treated with dignity and respect, and we simply ask you to provide honest and complete answers. Please don’t answer based on what you think you should say, on what you think is a socially desirable and acceptable response, or what you believe I expect or wish you to say. Simply relax and answer our questions as honestly as you can.</w:t>
      </w:r>
    </w:p>
    <w:p w14:paraId="634EB83F"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The defendant in this case, ____________________, is charged in an indictment with the criminal offenses outlined in the Case Summary on page ___ of the juror questionnaire. Please review this summary before you return to this courtroom. I want you to have enough information </w:t>
      </w:r>
      <w:r w:rsidRPr="009D2686">
        <w:rPr>
          <w:rFonts w:ascii="Times New Roman" w:hAnsi="Times New Roman" w:cs="Times New Roman"/>
          <w:color w:val="000000" w:themeColor="text1"/>
          <w:sz w:val="22"/>
          <w:szCs w:val="22"/>
        </w:rPr>
        <w:lastRenderedPageBreak/>
        <w:t xml:space="preserve">about this case so that you are </w:t>
      </w:r>
      <w:proofErr w:type="gramStart"/>
      <w:r w:rsidRPr="009D2686">
        <w:rPr>
          <w:rFonts w:ascii="Times New Roman" w:hAnsi="Times New Roman" w:cs="Times New Roman"/>
          <w:color w:val="000000" w:themeColor="text1"/>
          <w:sz w:val="22"/>
          <w:szCs w:val="22"/>
        </w:rPr>
        <w:t>in a position</w:t>
      </w:r>
      <w:proofErr w:type="gramEnd"/>
      <w:r w:rsidRPr="009D2686">
        <w:rPr>
          <w:rFonts w:ascii="Times New Roman" w:hAnsi="Times New Roman" w:cs="Times New Roman"/>
          <w:color w:val="000000" w:themeColor="text1"/>
          <w:sz w:val="22"/>
          <w:szCs w:val="22"/>
        </w:rPr>
        <w:t xml:space="preserve"> to be able to make honest, accurate and informed assessments as you are responding to the questions today.</w:t>
      </w:r>
    </w:p>
    <w:p w14:paraId="5DFF27E5"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The charges contained in the Indictment stem from allegations that __________________. As you know from my prior remarks and the jury questionnaire, this trial may proceed in two phases. The first is the trial phase in which the jury determines whether the defendant is guilty of the crimes charged. The second is the penalty phase, which only occurs if the defendant is found guilty of certain capital charges. In the trial phase, your job will be to determine, according to my instructions, </w:t>
      </w:r>
      <w:proofErr w:type="gramStart"/>
      <w:r w:rsidRPr="009D2686">
        <w:rPr>
          <w:rFonts w:ascii="Times New Roman" w:hAnsi="Times New Roman" w:cs="Times New Roman"/>
          <w:color w:val="000000" w:themeColor="text1"/>
          <w:sz w:val="22"/>
          <w:szCs w:val="22"/>
        </w:rPr>
        <w:t>whether or not</w:t>
      </w:r>
      <w:proofErr w:type="gramEnd"/>
      <w:r w:rsidRPr="009D2686">
        <w:rPr>
          <w:rFonts w:ascii="Times New Roman" w:hAnsi="Times New Roman" w:cs="Times New Roman"/>
          <w:color w:val="000000" w:themeColor="text1"/>
          <w:sz w:val="22"/>
          <w:szCs w:val="22"/>
        </w:rPr>
        <w:t xml:space="preserve"> the Government has proven the defendant guilty of the charges in the Indictment beyond a reasonable doubt. If you find that the defendant is guilty of one or more of the capital charges as I will define them for you at the conclusion of trial, there will be a penalty phase of the trial in which the same jurors will have the responsibility to decide whether the defendant is sentenced to life in prison without the possibility of release or, instead, sentenced to death. In the federal system there is no parole; therefore, if the defendant is sentenced to life imprisonment, they will spend the rest of their life in prison and never be released. A death sentence means that the defendant will be executed.</w:t>
      </w:r>
    </w:p>
    <w:p w14:paraId="20AA6252"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During a penalty phase, jurors consider certain evidence referred to in the law as “aggravating factors,” and “mitigating factors.” These factors have to do with the circumstances of the crime, or the personal traits, character, or background of the defendant, or anything else relevant to the sentencing decision. Aggravating factors are certain specified factors that could support a death sentence. </w:t>
      </w:r>
      <w:proofErr w:type="gramStart"/>
      <w:r w:rsidRPr="009D2686">
        <w:rPr>
          <w:rFonts w:ascii="Times New Roman" w:hAnsi="Times New Roman" w:cs="Times New Roman"/>
          <w:color w:val="000000" w:themeColor="text1"/>
          <w:sz w:val="22"/>
          <w:szCs w:val="22"/>
        </w:rPr>
        <w:t>In order for</w:t>
      </w:r>
      <w:proofErr w:type="gramEnd"/>
      <w:r w:rsidRPr="009D2686">
        <w:rPr>
          <w:rFonts w:ascii="Times New Roman" w:hAnsi="Times New Roman" w:cs="Times New Roman"/>
          <w:color w:val="000000" w:themeColor="text1"/>
          <w:sz w:val="22"/>
          <w:szCs w:val="22"/>
        </w:rPr>
        <w:t xml:space="preserve"> an aggravating factor to be considered, </w:t>
      </w:r>
      <w:r w:rsidRPr="009D2686">
        <w:rPr>
          <w:rFonts w:ascii="Times New Roman" w:hAnsi="Times New Roman" w:cs="Times New Roman"/>
          <w:i/>
          <w:iCs/>
          <w:color w:val="000000" w:themeColor="text1"/>
          <w:sz w:val="22"/>
          <w:szCs w:val="22"/>
        </w:rPr>
        <w:t>all twelve jurors</w:t>
      </w:r>
      <w:r w:rsidRPr="009D2686">
        <w:rPr>
          <w:rFonts w:ascii="Times New Roman" w:hAnsi="Times New Roman" w:cs="Times New Roman"/>
          <w:color w:val="000000" w:themeColor="text1"/>
          <w:sz w:val="22"/>
          <w:szCs w:val="22"/>
        </w:rPr>
        <w:t xml:space="preserve"> must agree that the factor has been proved by the government beyond a reasonable doubt. Jurors may not consider anything else as an aggravating factor.</w:t>
      </w:r>
    </w:p>
    <w:p w14:paraId="438AAD5E" w14:textId="77777777" w:rsidR="003B6DC3" w:rsidRPr="009D2686" w:rsidRDefault="003B6DC3" w:rsidP="003B6DC3">
      <w:pPr>
        <w:pStyle w:val="colloquylevel1"/>
        <w:spacing w:after="120"/>
        <w:ind w:left="720" w:firstLine="0"/>
        <w:rPr>
          <w:rFonts w:ascii="Times New Roman" w:hAnsi="Times New Roman" w:cs="Times New Roman"/>
          <w:b/>
          <w:bCs/>
          <w:color w:val="000000" w:themeColor="text1"/>
          <w:sz w:val="22"/>
          <w:szCs w:val="22"/>
        </w:rPr>
      </w:pPr>
      <w:r w:rsidRPr="009D2686">
        <w:rPr>
          <w:rFonts w:ascii="Times New Roman" w:hAnsi="Times New Roman" w:cs="Times New Roman"/>
          <w:color w:val="000000" w:themeColor="text1"/>
          <w:sz w:val="22"/>
          <w:szCs w:val="22"/>
        </w:rPr>
        <w:t xml:space="preserve">“Mitigating factors” are any circumstances or factors that would suggest, for </w:t>
      </w:r>
      <w:r w:rsidRPr="009D2686">
        <w:rPr>
          <w:rFonts w:ascii="Times New Roman" w:hAnsi="Times New Roman" w:cs="Times New Roman"/>
          <w:i/>
          <w:iCs/>
          <w:color w:val="000000" w:themeColor="text1"/>
          <w:sz w:val="22"/>
          <w:szCs w:val="22"/>
        </w:rPr>
        <w:t>any individual juror</w:t>
      </w:r>
      <w:r w:rsidRPr="009D2686">
        <w:rPr>
          <w:rFonts w:ascii="Times New Roman" w:hAnsi="Times New Roman" w:cs="Times New Roman"/>
          <w:color w:val="000000" w:themeColor="text1"/>
          <w:sz w:val="22"/>
          <w:szCs w:val="22"/>
        </w:rPr>
        <w:t xml:space="preserve">, that life imprisonment without possibility of release is an appropriate punishment. A mitigating factor is not offered to justify or excuse the defendant’s conduct, and the law does not require that there be a connection between a mitigating factor and the crime committed. There are three important distinctions that I want to highlight for you with respect to mitigating factors as compared to aggravating factors. First, the defendant is not required to prove the existence of a mitigating factor beyond a reasonable doubt, but only to establish its existence by a preponderance of the evidence. </w:t>
      </w:r>
      <w:proofErr w:type="gramStart"/>
      <w:r w:rsidRPr="009D2686">
        <w:rPr>
          <w:rFonts w:ascii="Times New Roman" w:hAnsi="Times New Roman" w:cs="Times New Roman"/>
          <w:color w:val="000000" w:themeColor="text1"/>
          <w:sz w:val="22"/>
          <w:szCs w:val="22"/>
        </w:rPr>
        <w:t>That is to say, you</w:t>
      </w:r>
      <w:proofErr w:type="gramEnd"/>
      <w:r w:rsidRPr="009D2686">
        <w:rPr>
          <w:rFonts w:ascii="Times New Roman" w:hAnsi="Times New Roman" w:cs="Times New Roman"/>
          <w:color w:val="000000" w:themeColor="text1"/>
          <w:sz w:val="22"/>
          <w:szCs w:val="22"/>
        </w:rPr>
        <w:t xml:space="preserve"> need only be convinced that a mitigating factor is more likely true than not true in order to find that the mitigating factor exists.</w:t>
      </w:r>
    </w:p>
    <w:p w14:paraId="3A29D739"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Second, each juror independently considers the mitigating factors; </w:t>
      </w:r>
      <w:r w:rsidRPr="009D2686">
        <w:rPr>
          <w:rFonts w:ascii="Times New Roman" w:hAnsi="Times New Roman" w:cs="Times New Roman"/>
          <w:i/>
          <w:iCs/>
          <w:color w:val="000000" w:themeColor="text1"/>
          <w:sz w:val="22"/>
          <w:szCs w:val="22"/>
        </w:rPr>
        <w:t>a unanimous finding is not required</w:t>
      </w:r>
      <w:r w:rsidRPr="009D2686">
        <w:rPr>
          <w:rFonts w:ascii="Times New Roman" w:hAnsi="Times New Roman" w:cs="Times New Roman"/>
          <w:color w:val="000000" w:themeColor="text1"/>
          <w:sz w:val="22"/>
          <w:szCs w:val="22"/>
        </w:rPr>
        <w:t>. Any juror may, individually and independently, find the existence of a mitigating factor, regardless of the number of other jurors who may agree, and any juror who so finds must give that mitigating factor whatever weight they think it deserves. Thus, if even a single member of the jury finds that a mitigating factor has been proved, that member of the jury is required to weigh that factor in making up their own mind on whether to vote for a death sentence or a sentence of life imprisonment without the possibility of release.</w:t>
      </w:r>
    </w:p>
    <w:p w14:paraId="72328B02"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Third and finally, unlike with aggravating factors, jurors are not limited in their consideration to the specific mitigating factors submitted to the jury. If, in addition to those specific mitigating factors, there is anything about the circumstances of the offense, the defendant’s personal traits, character, or background, or anything else relevant that you individually believe mitigates against the imposition of the death penalty or supports a sentence of life imprisonment without the possibility of release, you are free to consider that factor in the balance as well.</w:t>
      </w:r>
    </w:p>
    <w:p w14:paraId="180BBBBF"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In a penalty phase, the jurors’ task is not simply to decide what aggravating and mitigating factors exist, if any. Rather, in addition to evaluating those factors, the jurors are called upon to make a unique, individualized moral decision between the death penalty and life in prison without the </w:t>
      </w:r>
      <w:r w:rsidRPr="009D2686">
        <w:rPr>
          <w:rFonts w:ascii="Times New Roman" w:hAnsi="Times New Roman" w:cs="Times New Roman"/>
          <w:color w:val="000000" w:themeColor="text1"/>
          <w:sz w:val="22"/>
          <w:szCs w:val="22"/>
        </w:rPr>
        <w:lastRenderedPageBreak/>
        <w:t xml:space="preserve">possibility of release. It is important that you understand the law never requires the imposition of a sentence of death and never assumes that any defendant found guilty of committing capital murder must be sentenced to death. The government must persuade </w:t>
      </w:r>
      <w:proofErr w:type="gramStart"/>
      <w:r w:rsidRPr="009D2686">
        <w:rPr>
          <w:rFonts w:ascii="Times New Roman" w:hAnsi="Times New Roman" w:cs="Times New Roman"/>
          <w:color w:val="000000" w:themeColor="text1"/>
          <w:sz w:val="22"/>
          <w:szCs w:val="22"/>
        </w:rPr>
        <w:t>each and every</w:t>
      </w:r>
      <w:proofErr w:type="gramEnd"/>
      <w:r w:rsidRPr="009D2686">
        <w:rPr>
          <w:rFonts w:ascii="Times New Roman" w:hAnsi="Times New Roman" w:cs="Times New Roman"/>
          <w:color w:val="000000" w:themeColor="text1"/>
          <w:sz w:val="22"/>
          <w:szCs w:val="22"/>
        </w:rPr>
        <w:t xml:space="preserve"> juror beyond a reasonable doubt that the aggravating factor or factors exist. You will then determine whether </w:t>
      </w:r>
      <w:proofErr w:type="gramStart"/>
      <w:r w:rsidRPr="009D2686">
        <w:rPr>
          <w:rFonts w:ascii="Times New Roman" w:hAnsi="Times New Roman" w:cs="Times New Roman"/>
          <w:color w:val="000000" w:themeColor="text1"/>
          <w:sz w:val="22"/>
          <w:szCs w:val="22"/>
        </w:rPr>
        <w:t>all of</w:t>
      </w:r>
      <w:proofErr w:type="gramEnd"/>
      <w:r w:rsidRPr="009D2686">
        <w:rPr>
          <w:rFonts w:ascii="Times New Roman" w:hAnsi="Times New Roman" w:cs="Times New Roman"/>
          <w:color w:val="000000" w:themeColor="text1"/>
          <w:sz w:val="22"/>
          <w:szCs w:val="22"/>
        </w:rPr>
        <w:t xml:space="preserve"> the aggravating factors found to exist sufficiently outweigh the mitigating factors to justify a sentence of death. Each juror must ultimately make a unique individual moral judgment about whether to sentence a defendant convicted of a capital crime to life imprisonment without the possibility of release or to death.</w:t>
      </w:r>
    </w:p>
    <w:p w14:paraId="152E5725"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At the conclusion of a penalty phase, if all 12 jurors unanimously find that life imprisonment without the possibility of release is appropriate, then a sentence of life imprisonment without the possibility of release will be imposed. If, and only if, all twelve jurors unanimously find that death is the only appropriate sentence, will a death sentence be imposed. If one or more jurors finds that a sentence of life imprisonment without the possibility of release is the appropriate sentence, and the jury is not unanimous in its decision regarding punishment, then the Court will impose a sentence of life imprisonment without the possibility of release. The sentence imposed by the jury, whether a unanimous vote for life imprisonment, a unanimous vote for death, or a non-unanimous vote for life is final. I must follow the jury’s sentencing determination.</w:t>
      </w:r>
    </w:p>
    <w:p w14:paraId="2DD1E83B"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This is only an overview of the law to provide you some context to answer our questions today. At trial, I will instruct jurors in greater detail about their duties.</w:t>
      </w:r>
    </w:p>
    <w:p w14:paraId="68C6E557"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I want to thank you again for your taking part in this important process, and for returning to the Courthouse today.</w:t>
      </w:r>
    </w:p>
    <w:p w14:paraId="31592681"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This completes my preliminary remarks. I will now ask my Deputy Clerk, _________________, to re-administer the oath that will govern your participation in the jury-selection process.</w:t>
      </w:r>
    </w:p>
    <w:p w14:paraId="4426EBEB" w14:textId="77777777" w:rsidR="003B6DC3" w:rsidRPr="009D2686" w:rsidRDefault="003B6DC3" w:rsidP="003B6DC3">
      <w:pPr>
        <w:pStyle w:val="colloquylevel1"/>
        <w:spacing w:after="120"/>
        <w:ind w:left="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[OATH ADMINISTERED]</w:t>
      </w:r>
    </w:p>
    <w:p w14:paraId="24357409" w14:textId="77777777" w:rsidR="003B6DC3" w:rsidRPr="009D2686" w:rsidRDefault="003B6DC3" w:rsidP="003B6DC3">
      <w:pPr>
        <w:pStyle w:val="header4"/>
        <w:rPr>
          <w:color w:val="000000" w:themeColor="text1"/>
        </w:rPr>
      </w:pPr>
      <w:r w:rsidRPr="009D2686">
        <w:rPr>
          <w:color w:val="000000" w:themeColor="text1"/>
        </w:rPr>
        <w:t xml:space="preserve">• Introductory General Questions: </w:t>
      </w:r>
    </w:p>
    <w:p w14:paraId="31B132B2" w14:textId="77777777" w:rsidR="003B6DC3" w:rsidRPr="009D2686" w:rsidRDefault="003B6DC3" w:rsidP="003B6DC3">
      <w:pPr>
        <w:pStyle w:val="colloquylevel1"/>
        <w:spacing w:after="120"/>
        <w:ind w:left="36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(Ask the jurors to raise their hand if they have information relevant to the question asked. Their answers will be elicited when they return to the courtroom for individual questioning.)</w:t>
      </w:r>
    </w:p>
    <w:p w14:paraId="75F29DB1"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Please remember that you are under oath to provide honest answers and that there are no right or wrong answers.</w:t>
      </w:r>
    </w:p>
    <w:p w14:paraId="779896FE" w14:textId="77777777" w:rsidR="003B6DC3" w:rsidRPr="009D2686" w:rsidRDefault="003B6DC3" w:rsidP="003B6DC3">
      <w:pPr>
        <w:pStyle w:val="colloquylevel1"/>
        <w:spacing w:after="120"/>
        <w:ind w:left="720" w:firstLine="0"/>
        <w:rPr>
          <w:rFonts w:ascii="Times New Roman" w:hAnsi="Times New Roman" w:cs="Times New Roman"/>
          <w:b/>
          <w:bCs/>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Since you were here last, have you read, seen, or heard anything about this case or __________________ [defendant’s name] from any source?</w:t>
      </w:r>
    </w:p>
    <w:p w14:paraId="33E58CAE"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Have you done any kind of research, internet or otherwise, about this case, the defendant, or the people involved in this trial, or posted anything online about this case or your jury service?</w:t>
      </w:r>
    </w:p>
    <w:p w14:paraId="0852B32D"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C.</w:t>
      </w:r>
      <w:r w:rsidRPr="009D2686">
        <w:rPr>
          <w:rFonts w:ascii="Times New Roman" w:hAnsi="Times New Roman" w:cs="Times New Roman"/>
          <w:color w:val="000000" w:themeColor="text1"/>
          <w:sz w:val="22"/>
          <w:szCs w:val="22"/>
        </w:rPr>
        <w:tab/>
        <w:t>Have you spoken to anyone or has anyone spoken to you about this case or the defendant, including discussions with fellow prospective jurors?</w:t>
      </w:r>
    </w:p>
    <w:p w14:paraId="67B06F28"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D.</w:t>
      </w:r>
      <w:r w:rsidRPr="009D2686">
        <w:rPr>
          <w:rFonts w:ascii="Times New Roman" w:hAnsi="Times New Roman" w:cs="Times New Roman"/>
          <w:color w:val="000000" w:themeColor="text1"/>
          <w:sz w:val="22"/>
          <w:szCs w:val="22"/>
        </w:rPr>
        <w:tab/>
        <w:t>Have you overheard any discussion about this case or the defendant, including discussions among fellow jurors?</w:t>
      </w:r>
    </w:p>
    <w:p w14:paraId="76A53901"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E.</w:t>
      </w:r>
      <w:r w:rsidRPr="009D2686">
        <w:rPr>
          <w:rFonts w:ascii="Times New Roman" w:hAnsi="Times New Roman" w:cs="Times New Roman"/>
          <w:color w:val="000000" w:themeColor="text1"/>
          <w:sz w:val="22"/>
          <w:szCs w:val="22"/>
        </w:rPr>
        <w:tab/>
        <w:t>As prospective jurors, you are to avoid all media associated with this case, you cannot research the case in any way, and you cannot talk or post about your jury service in this case until you have been formally excused from jury duty. Do you think you may have difficulty, for any reason, following those instructions?</w:t>
      </w:r>
    </w:p>
    <w:p w14:paraId="3B88D5A6"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F.</w:t>
      </w:r>
      <w:r w:rsidRPr="009D2686">
        <w:rPr>
          <w:rFonts w:ascii="Times New Roman" w:hAnsi="Times New Roman" w:cs="Times New Roman"/>
          <w:color w:val="000000" w:themeColor="text1"/>
          <w:sz w:val="22"/>
          <w:szCs w:val="22"/>
        </w:rPr>
        <w:tab/>
        <w:t>Has anything changed about your ability to serve as a juror in this case, that is, something you have not already indicated in your questionnaire?</w:t>
      </w:r>
    </w:p>
    <w:p w14:paraId="0B790591" w14:textId="7819F7ED"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lastRenderedPageBreak/>
        <w:t>G.</w:t>
      </w:r>
      <w:r w:rsidRPr="009D2686">
        <w:rPr>
          <w:rFonts w:ascii="Times New Roman" w:hAnsi="Times New Roman" w:cs="Times New Roman"/>
          <w:color w:val="000000" w:themeColor="text1"/>
          <w:sz w:val="22"/>
          <w:szCs w:val="22"/>
        </w:rPr>
        <w:tab/>
        <w:t>Do you know any person introduced here today or anyone else you think might be connected to this case in anyway, including but not limited to any witnesses, investigators, rescue workers, law enforcement officers or agents?</w:t>
      </w:r>
    </w:p>
    <w:p w14:paraId="3CD7515C" w14:textId="77777777" w:rsidR="003B6DC3" w:rsidRPr="009D2686" w:rsidRDefault="003B6DC3" w:rsidP="003B6DC3">
      <w:pPr>
        <w:pStyle w:val="colloquylevel1"/>
        <w:spacing w:after="120"/>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H.</w:t>
      </w:r>
      <w:r w:rsidRPr="009D2686">
        <w:rPr>
          <w:rFonts w:ascii="Times New Roman" w:hAnsi="Times New Roman" w:cs="Times New Roman"/>
          <w:color w:val="000000" w:themeColor="text1"/>
          <w:sz w:val="22"/>
          <w:szCs w:val="22"/>
        </w:rPr>
        <w:tab/>
        <w:t>We have provided you with a copy of your juror questionnaire. Would you like to change or amend any of your answers?</w:t>
      </w:r>
    </w:p>
    <w:p w14:paraId="51412C88" w14:textId="77777777" w:rsidR="003B6DC3" w:rsidRDefault="003B6DC3"/>
    <w:sectPr w:rsidR="003B6D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0886" w14:textId="77777777" w:rsidR="003B6DC3" w:rsidRDefault="003B6DC3" w:rsidP="003B6DC3">
      <w:pPr>
        <w:spacing w:after="0" w:line="240" w:lineRule="auto"/>
      </w:pPr>
      <w:r>
        <w:separator/>
      </w:r>
    </w:p>
  </w:endnote>
  <w:endnote w:type="continuationSeparator" w:id="0">
    <w:p w14:paraId="6B0290C6" w14:textId="77777777" w:rsidR="003B6DC3" w:rsidRDefault="003B6DC3" w:rsidP="003B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18CF" w14:textId="77777777" w:rsidR="003B6DC3" w:rsidRDefault="003B6DC3" w:rsidP="003B6DC3">
      <w:pPr>
        <w:spacing w:after="0" w:line="240" w:lineRule="auto"/>
      </w:pPr>
      <w:r>
        <w:separator/>
      </w:r>
    </w:p>
  </w:footnote>
  <w:footnote w:type="continuationSeparator" w:id="0">
    <w:p w14:paraId="4AD04131" w14:textId="77777777" w:rsidR="003B6DC3" w:rsidRDefault="003B6DC3" w:rsidP="003B6DC3">
      <w:pPr>
        <w:spacing w:after="0" w:line="240" w:lineRule="auto"/>
      </w:pPr>
      <w:r>
        <w:continuationSeparator/>
      </w:r>
    </w:p>
  </w:footnote>
  <w:footnote w:id="1">
    <w:p w14:paraId="126470EE" w14:textId="77777777" w:rsidR="003B6DC3" w:rsidRPr="00ED2D6D" w:rsidRDefault="003B6DC3" w:rsidP="003B6DC3">
      <w:pPr>
        <w:pStyle w:val="footnotesnew"/>
        <w:rPr>
          <w:rFonts w:cs="Times New Roman"/>
          <w:color w:val="000000" w:themeColor="text1"/>
        </w:rPr>
      </w:pPr>
      <w:r w:rsidRPr="00573EA3">
        <w:rPr>
          <w:rStyle w:val="FootnoteReference"/>
          <w:rFonts w:cs="Times New Roman"/>
          <w:color w:val="000000" w:themeColor="text1"/>
        </w:rPr>
        <w:footnoteRef/>
      </w:r>
      <w:r w:rsidRPr="00ED2D6D">
        <w:rPr>
          <w:rFonts w:cs="Times New Roman"/>
          <w:color w:val="000000" w:themeColor="text1"/>
        </w:rPr>
        <w:t xml:space="preserve"> This suggested explanation was derived from those given in 15 capital cases between 2009 and 2023, including United States v. Saipov, No. 17-cr-722 (S.D.N.Y.), in 2023.</w:t>
      </w:r>
      <w:r w:rsidRPr="009D2686">
        <w:rPr>
          <w:rFonts w:cs="Times New Roman"/>
          <w:color w:val="000000" w:themeColor="text1"/>
        </w:rPr>
        <w:t xml:space="preserve"> </w:t>
      </w:r>
      <w:r w:rsidRPr="00ED2D6D">
        <w:rPr>
          <w:rFonts w:cs="Times New Roman"/>
          <w:color w:val="000000" w:themeColor="text1"/>
        </w:rPr>
        <w:t>Examples of these instructions are available upon request from the Administrative Office of the U.S. Courts, Defender Services Office. Please contact Judy Gallant, Senior Attorney Advisor (</w:t>
      </w:r>
      <w:hyperlink r:id="rId1" w:history="1">
        <w:r w:rsidRPr="00ED2D6D">
          <w:rPr>
            <w:rStyle w:val="Hyperlink"/>
            <w:rFonts w:cs="Times New Roman"/>
            <w:color w:val="0070C0"/>
          </w:rPr>
          <w:t>Judy_Gallant@ao.uscourts.gov</w:t>
        </w:r>
      </w:hyperlink>
      <w:r w:rsidRPr="00ED2D6D">
        <w:rPr>
          <w:rFonts w:cs="Times New Roman"/>
          <w:color w:val="000000" w:themeColor="text1"/>
        </w:rPr>
        <w:t>, (202) 502-3030).</w:t>
      </w:r>
    </w:p>
    <w:p w14:paraId="324D10A3" w14:textId="77777777" w:rsidR="003B6DC3" w:rsidRPr="009D2686" w:rsidRDefault="003B6DC3" w:rsidP="003B6DC3">
      <w:pPr>
        <w:pStyle w:val="footnotesnew"/>
        <w:rPr>
          <w:rFonts w:cs="Times New Roman"/>
          <w:color w:val="000000" w:themeColor="text1"/>
        </w:rPr>
      </w:pPr>
    </w:p>
    <w:p w14:paraId="5183FD34" w14:textId="77777777" w:rsidR="003B6DC3" w:rsidRPr="009D2686" w:rsidRDefault="003B6DC3" w:rsidP="003B6DC3">
      <w:pPr>
        <w:pStyle w:val="footnotesnew"/>
        <w:rPr>
          <w:rFonts w:cs="Times New Roman"/>
          <w:color w:val="000000" w:themeColor="text1"/>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C3"/>
    <w:rsid w:val="000D6417"/>
    <w:rsid w:val="003B6DC3"/>
    <w:rsid w:val="00401996"/>
    <w:rsid w:val="00500E09"/>
    <w:rsid w:val="00524EFF"/>
    <w:rsid w:val="007360D6"/>
    <w:rsid w:val="00794757"/>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7866"/>
  <w15:chartTrackingRefBased/>
  <w15:docId w15:val="{4CF56E3A-212C-4954-906C-10C59233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B6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B6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DC3"/>
    <w:rPr>
      <w:rFonts w:eastAsiaTheme="majorEastAsia" w:cstheme="majorBidi"/>
      <w:color w:val="272727" w:themeColor="text1" w:themeTint="D8"/>
    </w:rPr>
  </w:style>
  <w:style w:type="paragraph" w:styleId="Title">
    <w:name w:val="Title"/>
    <w:basedOn w:val="Normal"/>
    <w:next w:val="Normal"/>
    <w:link w:val="TitleChar"/>
    <w:uiPriority w:val="10"/>
    <w:qFormat/>
    <w:rsid w:val="003B6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DC3"/>
    <w:pPr>
      <w:spacing w:before="160"/>
      <w:jc w:val="center"/>
    </w:pPr>
    <w:rPr>
      <w:i/>
      <w:iCs/>
      <w:color w:val="404040" w:themeColor="text1" w:themeTint="BF"/>
    </w:rPr>
  </w:style>
  <w:style w:type="character" w:customStyle="1" w:styleId="QuoteChar">
    <w:name w:val="Quote Char"/>
    <w:basedOn w:val="DefaultParagraphFont"/>
    <w:link w:val="Quote"/>
    <w:uiPriority w:val="29"/>
    <w:rsid w:val="003B6DC3"/>
    <w:rPr>
      <w:i/>
      <w:iCs/>
      <w:color w:val="404040" w:themeColor="text1" w:themeTint="BF"/>
    </w:rPr>
  </w:style>
  <w:style w:type="paragraph" w:styleId="ListParagraph">
    <w:name w:val="List Paragraph"/>
    <w:basedOn w:val="Normal"/>
    <w:uiPriority w:val="34"/>
    <w:qFormat/>
    <w:rsid w:val="003B6DC3"/>
    <w:pPr>
      <w:ind w:left="720"/>
      <w:contextualSpacing/>
    </w:pPr>
  </w:style>
  <w:style w:type="character" w:styleId="IntenseEmphasis">
    <w:name w:val="Intense Emphasis"/>
    <w:basedOn w:val="DefaultParagraphFont"/>
    <w:uiPriority w:val="21"/>
    <w:qFormat/>
    <w:rsid w:val="003B6DC3"/>
    <w:rPr>
      <w:i/>
      <w:iCs/>
      <w:color w:val="0F4761" w:themeColor="accent1" w:themeShade="BF"/>
    </w:rPr>
  </w:style>
  <w:style w:type="paragraph" w:styleId="IntenseQuote">
    <w:name w:val="Intense Quote"/>
    <w:basedOn w:val="Normal"/>
    <w:next w:val="Normal"/>
    <w:link w:val="IntenseQuoteChar"/>
    <w:uiPriority w:val="30"/>
    <w:qFormat/>
    <w:rsid w:val="003B6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DC3"/>
    <w:rPr>
      <w:i/>
      <w:iCs/>
      <w:color w:val="0F4761" w:themeColor="accent1" w:themeShade="BF"/>
    </w:rPr>
  </w:style>
  <w:style w:type="character" w:styleId="IntenseReference">
    <w:name w:val="Intense Reference"/>
    <w:basedOn w:val="DefaultParagraphFont"/>
    <w:uiPriority w:val="32"/>
    <w:qFormat/>
    <w:rsid w:val="003B6DC3"/>
    <w:rPr>
      <w:b/>
      <w:bCs/>
      <w:smallCaps/>
      <w:color w:val="0F4761" w:themeColor="accent1" w:themeShade="BF"/>
      <w:spacing w:val="5"/>
    </w:rPr>
  </w:style>
  <w:style w:type="character" w:styleId="FootnoteReference">
    <w:name w:val="footnote reference"/>
    <w:uiPriority w:val="99"/>
    <w:unhideWhenUsed/>
    <w:rsid w:val="003B6DC3"/>
    <w:rPr>
      <w:rFonts w:ascii="Times New Roman" w:hAnsi="Times New Roman"/>
      <w:vertAlign w:val="superscript"/>
    </w:rPr>
  </w:style>
  <w:style w:type="character" w:styleId="Hyperlink">
    <w:name w:val="Hyperlink"/>
    <w:uiPriority w:val="99"/>
    <w:unhideWhenUsed/>
    <w:rsid w:val="003B6DC3"/>
    <w:rPr>
      <w:rFonts w:ascii="Times New Roman" w:hAnsi="Times New Roman"/>
      <w:color w:val="0563C1"/>
      <w:u w:val="single"/>
    </w:rPr>
  </w:style>
  <w:style w:type="character" w:styleId="CommentReference">
    <w:name w:val="annotation reference"/>
    <w:unhideWhenUsed/>
    <w:rsid w:val="003B6DC3"/>
    <w:rPr>
      <w:sz w:val="16"/>
      <w:szCs w:val="16"/>
    </w:rPr>
  </w:style>
  <w:style w:type="paragraph" w:styleId="CommentText">
    <w:name w:val="annotation text"/>
    <w:basedOn w:val="Normal"/>
    <w:link w:val="CommentTextChar"/>
    <w:unhideWhenUsed/>
    <w:rsid w:val="003B6DC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3B6DC3"/>
    <w:rPr>
      <w:rFonts w:ascii="Calibri" w:eastAsia="Calibri" w:hAnsi="Calibri" w:cs="Times New Roman"/>
      <w:sz w:val="20"/>
      <w:szCs w:val="20"/>
    </w:rPr>
  </w:style>
  <w:style w:type="paragraph" w:customStyle="1" w:styleId="footnotesnew">
    <w:name w:val="footnotesnew"/>
    <w:basedOn w:val="FootnoteText"/>
    <w:qFormat/>
    <w:rsid w:val="003B6DC3"/>
    <w:pPr>
      <w:keepLines/>
      <w:spacing w:afterLines="20" w:after="48"/>
      <w:ind w:firstLine="360"/>
      <w:jc w:val="both"/>
    </w:pPr>
    <w:rPr>
      <w:rFonts w:ascii="Times New Roman" w:eastAsia="Calibri" w:hAnsi="Times New Roman" w:cs="Calibri"/>
    </w:rPr>
  </w:style>
  <w:style w:type="paragraph" w:customStyle="1" w:styleId="header4">
    <w:name w:val="header4"/>
    <w:basedOn w:val="Normal"/>
    <w:qFormat/>
    <w:rsid w:val="003B6DC3"/>
    <w:pPr>
      <w:tabs>
        <w:tab w:val="left" w:pos="360"/>
      </w:tabs>
      <w:spacing w:after="60" w:line="240" w:lineRule="auto"/>
      <w:ind w:left="180"/>
    </w:pPr>
    <w:rPr>
      <w:rFonts w:ascii="Times New Roman" w:eastAsia="Calibri" w:hAnsi="Times New Roman" w:cs="Times New Roman"/>
      <w:b/>
      <w:bCs/>
      <w:sz w:val="22"/>
      <w:szCs w:val="22"/>
    </w:rPr>
  </w:style>
  <w:style w:type="paragraph" w:customStyle="1" w:styleId="level123">
    <w:name w:val="level 123"/>
    <w:basedOn w:val="Normal"/>
    <w:uiPriority w:val="99"/>
    <w:rsid w:val="003B6DC3"/>
    <w:pPr>
      <w:tabs>
        <w:tab w:val="left" w:pos="-2520"/>
        <w:tab w:val="left" w:pos="360"/>
      </w:tabs>
      <w:autoSpaceDE w:val="0"/>
      <w:autoSpaceDN w:val="0"/>
      <w:spacing w:before="60" w:after="0" w:line="260" w:lineRule="atLeast"/>
      <w:ind w:left="720" w:hanging="360"/>
      <w:jc w:val="both"/>
    </w:pPr>
    <w:rPr>
      <w:rFonts w:ascii="Utopia" w:eastAsia="Times" w:hAnsi="Utopia" w:cs="Utopia"/>
      <w:kern w:val="0"/>
      <w:sz w:val="22"/>
      <w:szCs w:val="22"/>
    </w:rPr>
  </w:style>
  <w:style w:type="paragraph" w:customStyle="1" w:styleId="colloquylevel1">
    <w:name w:val="colloquy level 1"/>
    <w:basedOn w:val="Normal"/>
    <w:uiPriority w:val="99"/>
    <w:rsid w:val="003B6DC3"/>
    <w:pPr>
      <w:autoSpaceDE w:val="0"/>
      <w:autoSpaceDN w:val="0"/>
      <w:spacing w:before="60" w:after="0" w:line="260" w:lineRule="atLeast"/>
      <w:ind w:left="1080" w:hanging="360"/>
      <w:jc w:val="both"/>
    </w:pPr>
    <w:rPr>
      <w:rFonts w:ascii="ITC Legacy Sans Medium" w:eastAsia="Times" w:hAnsi="ITC Legacy Sans Medium" w:cs="ITC Legacy Sans Medium"/>
      <w:kern w:val="0"/>
    </w:rPr>
  </w:style>
  <w:style w:type="paragraph" w:styleId="FootnoteText">
    <w:name w:val="footnote text"/>
    <w:basedOn w:val="Normal"/>
    <w:link w:val="FootnoteTextChar"/>
    <w:uiPriority w:val="99"/>
    <w:semiHidden/>
    <w:unhideWhenUsed/>
    <w:rsid w:val="003B6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D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Judy_Gallant@ao.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1675</Words>
  <Characters>9548</Characters>
  <Application>Microsoft Office Word</Application>
  <DocSecurity>0</DocSecurity>
  <Lines>79</Lines>
  <Paragraphs>22</Paragraphs>
  <ScaleCrop>false</ScaleCrop>
  <Company>Federal Judicial Center</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2025-12-12T16:09:00Z</dcterms:created>
  <dcterms:modified xsi:type="dcterms:W3CDTF">2025-12-12T16:15:00Z</dcterms:modified>
</cp:coreProperties>
</file>